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20</w:t>
      </w:r>
      <w:r>
        <w:rPr>
          <w:b/>
          <w:bCs/>
          <w:color w:val="000000"/>
          <w:sz w:val="20"/>
          <w:vertAlign w:val="superscript"/>
        </w:rPr>
        <w:t>th</w:t>
      </w:r>
      <w:r>
        <w:rPr>
          <w:b/>
          <w:bCs/>
          <w:color w:val="000000"/>
          <w:sz w:val="20"/>
        </w:rPr>
        <w:t xml:space="preserve"> March 2017</w:t>
      </w:r>
    </w:p>
    <w:p>
      <w:pPr>
        <w:pStyle w:val="Normal"/>
        <w:rPr>
          <w:b/>
          <w:bCs/>
          <w:color w:val="000000"/>
          <w:sz w:val="20"/>
        </w:rPr>
      </w:pPr>
      <w:r>
        <w:rPr>
          <w:b/>
          <w:bCs/>
          <w:color w:val="000000"/>
          <w:sz w:val="20"/>
        </w:rPr>
      </w:r>
    </w:p>
    <w:p>
      <w:pPr>
        <w:pStyle w:val="TextBody"/>
        <w:rPr>
          <w:color w:val="000000"/>
          <w:sz w:val="20"/>
        </w:rPr>
      </w:pPr>
      <w:r>
        <w:rPr>
          <w:color w:val="000000"/>
          <w:sz w:val="20"/>
        </w:rPr>
        <w:t xml:space="preserve">Present:   Parish Councillors - Cllr. Amy Wardman (Chair), Cllr. Charles Barker, Cllr. Stuart Gould, Cllr. Douglas Titley, Cllr. Lee Wilson, Cllr. Jane Prince. </w:t>
      </w:r>
    </w:p>
    <w:p>
      <w:pPr>
        <w:pStyle w:val="TextBody"/>
        <w:rPr>
          <w:color w:val="000000"/>
          <w:sz w:val="20"/>
        </w:rPr>
      </w:pPr>
      <w:r>
        <w:rPr>
          <w:color w:val="000000"/>
          <w:sz w:val="20"/>
        </w:rPr>
        <w:t>SMDC Cllr. Teresa Riley</w:t>
      </w:r>
    </w:p>
    <w:p>
      <w:pPr>
        <w:pStyle w:val="TextBody"/>
        <w:rPr>
          <w:b w:val="false"/>
          <w:bCs w:val="false"/>
          <w:color w:val="000000"/>
          <w:sz w:val="20"/>
          <w:szCs w:val="20"/>
        </w:rPr>
      </w:pPr>
      <w:r>
        <w:rPr>
          <w:b/>
          <w:bCs/>
          <w:color w:val="000000"/>
          <w:sz w:val="20"/>
          <w:szCs w:val="20"/>
        </w:rPr>
        <w:t>S. Mansfield (Clerk of Warslow &amp; Elkstones Parish Council)</w:t>
      </w:r>
      <w:r>
        <w:rPr>
          <w:b w:val="false"/>
          <w:bCs w:val="false"/>
          <w:color w:val="000000"/>
          <w:sz w:val="20"/>
          <w:szCs w:val="20"/>
        </w:rPr>
        <w:t xml:space="preserve"> </w:t>
      </w:r>
    </w:p>
    <w:p>
      <w:pPr>
        <w:pStyle w:val="TextBody"/>
        <w:rPr>
          <w:b/>
          <w:bCs/>
          <w:color w:val="000000"/>
          <w:sz w:val="20"/>
          <w:szCs w:val="20"/>
        </w:rPr>
      </w:pPr>
      <w:r>
        <w:rPr>
          <w:b/>
          <w:bCs/>
          <w:color w:val="000000"/>
          <w:sz w:val="20"/>
          <w:szCs w:val="20"/>
        </w:rPr>
        <w:t>Two members of the Public were also present, representing Manifold Academy.</w:t>
      </w:r>
    </w:p>
    <w:tbl>
      <w:tblPr>
        <w:jc w:val="left"/>
        <w:tblInd w:w="-120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357"/>
        <w:gridCol w:w="9671"/>
      </w:tblGrid>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20/03/17/01</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All Parish Councillors were present and signed the attendance register. The members of the public identified themselves to the meeting as representatives of Manifold Academy.</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20/03/17/02</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None.</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Declarations of Member's Interests</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20/03/17/03</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Cllr Lee Wilson's forms presented to Council and signed Clerk to send to Staffordshire Moorlands District Council.</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4</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140"/>
              <w:rPr>
                <w:b/>
                <w:bCs/>
                <w:color w:val="000000"/>
                <w:sz w:val="24"/>
                <w:szCs w:val="24"/>
              </w:rPr>
            </w:pPr>
            <w:r>
              <w:rPr>
                <w:b/>
                <w:bCs/>
                <w:color w:val="000000"/>
                <w:sz w:val="24"/>
                <w:szCs w:val="24"/>
              </w:rPr>
              <w:t>Declarations of pecuniary interests and code of conduct</w:t>
            </w:r>
          </w:p>
        </w:tc>
      </w:tr>
      <w:tr>
        <w:trPr>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20/03/17/04</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shd w:fill="FFFFFF" w:val="clear"/>
              </w:rPr>
            </w:pPr>
            <w:r>
              <w:rPr>
                <w:b w:val="false"/>
                <w:bCs w:val="false"/>
                <w:color w:val="000000"/>
                <w:sz w:val="24"/>
                <w:szCs w:val="24"/>
                <w:shd w:fill="FFFFFF" w:val="clear"/>
              </w:rPr>
              <w:t>No longer applicable.</w:t>
            </w:r>
          </w:p>
        </w:tc>
      </w:tr>
      <w:tr>
        <w:trPr>
          <w:trHeight w:val="537" w:hRule="atLeast"/>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20/03/17/05</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 confidential items.</w:t>
            </w:r>
          </w:p>
        </w:tc>
      </w:tr>
      <w:tr>
        <w:trPr>
          <w:trHeight w:val="26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16</w:t>
            </w:r>
            <w:r>
              <w:rPr>
                <w:b/>
                <w:bCs/>
                <w:color w:val="000000"/>
                <w:sz w:val="24"/>
                <w:szCs w:val="24"/>
                <w:vertAlign w:val="superscript"/>
              </w:rPr>
              <w:t>th</w:t>
            </w:r>
            <w:r>
              <w:rPr>
                <w:b/>
                <w:bCs/>
                <w:color w:val="000000"/>
                <w:sz w:val="24"/>
                <w:szCs w:val="24"/>
              </w:rPr>
              <w:t xml:space="preserve"> January 2017 </w:t>
            </w:r>
          </w:p>
        </w:tc>
      </w:tr>
      <w:tr>
        <w:trPr>
          <w:trHeight w:val="26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20/03/17/06</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The minutes of the previous meeting held on 16</w:t>
            </w:r>
            <w:r>
              <w:rPr>
                <w:b w:val="false"/>
                <w:bCs w:val="false"/>
                <w:sz w:val="24"/>
                <w:szCs w:val="24"/>
                <w:vertAlign w:val="superscript"/>
              </w:rPr>
              <w:t>th</w:t>
            </w:r>
            <w:r>
              <w:rPr>
                <w:b w:val="false"/>
                <w:bCs w:val="false"/>
                <w:sz w:val="24"/>
                <w:szCs w:val="24"/>
              </w:rPr>
              <w:t xml:space="preserve"> January 2017 were reviewed and approved. Proposed Cllr Jane Prince, Seconded Cllr Charles Barker</w:t>
            </w:r>
          </w:p>
        </w:tc>
      </w:tr>
      <w:tr>
        <w:trPr>
          <w:trHeight w:val="26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20/03/17/07</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The representatives from Manifold Academy explained to the meeting the project to use existing SCC owned land, currently leased by the Multi-trust Academy, as a playground for children at the Academy in school hours and open it for public use outside school hours.</w:t>
            </w:r>
          </w:p>
          <w:p>
            <w:pPr>
              <w:pStyle w:val="TextBody"/>
              <w:spacing w:lineRule="auto" w:line="288" w:before="0" w:after="0"/>
              <w:rPr>
                <w:b w:val="false"/>
                <w:bCs w:val="false"/>
                <w:sz w:val="24"/>
                <w:szCs w:val="24"/>
              </w:rPr>
            </w:pPr>
            <w:r>
              <w:rPr>
                <w:b w:val="false"/>
                <w:bCs w:val="false"/>
                <w:sz w:val="24"/>
                <w:szCs w:val="24"/>
              </w:rPr>
              <w:t>The meeting was informed that from a consultation form distributed in the area, it was clear that there was much support for the proposal ( forms returned 75, showed as 74 in support and 1 against). There was also support from SCC Councillor Gill Heath, The Right Honourable Karen Bradley MP and the Free School Group.</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20/03/17/08</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1)It was again requested by the Clerk that Mr A. Hall and Mr B. Slack to complete time sheets promptly at the 31</w:t>
            </w:r>
            <w:r>
              <w:rPr>
                <w:b w:val="false"/>
                <w:bCs w:val="false"/>
                <w:color w:val="000000"/>
                <w:sz w:val="24"/>
                <w:szCs w:val="24"/>
                <w:shd w:fill="FFFFFF" w:val="clear"/>
                <w:vertAlign w:val="superscript"/>
              </w:rPr>
              <w:t>st</w:t>
            </w:r>
            <w:r>
              <w:rPr>
                <w:b w:val="false"/>
                <w:bCs w:val="false"/>
                <w:color w:val="000000"/>
                <w:sz w:val="24"/>
                <w:szCs w:val="24"/>
                <w:shd w:fill="FFFFFF" w:val="clear"/>
              </w:rPr>
              <w:t xml:space="preserve"> March 2017 to ensure that the Parish Council can reclaim the funding in the short time frame available to do so.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2 ) It was resolved that at the next meeting there will be a review of the works undertaken by the lengthsmen to ensure that the Parish Council is paying for works that it requires and SMDC continues to pay for the work that it requires. </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20/03/17/09</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1) The B5053 near Shayside Farm has a rough and potholed surface again.</w:t>
            </w:r>
          </w:p>
          <w:p>
            <w:pPr>
              <w:pStyle w:val="Normal"/>
              <w:spacing w:lineRule="auto" w:line="288" w:before="0" w:after="0"/>
              <w:rPr/>
            </w:pPr>
            <w:r>
              <w:rPr/>
              <w:t>2) The cattle grid on the Leek Road regularly becomes flooded. It has been suggested by residents and Parish Councillors that this cattle grid is now redundant and that the SCC should consider removing it.</w:t>
            </w:r>
          </w:p>
          <w:p>
            <w:pPr>
              <w:pStyle w:val="Normal"/>
              <w:spacing w:lineRule="auto" w:line="288" w:before="0" w:after="0"/>
              <w:rPr/>
            </w:pPr>
            <w:r>
              <w:rPr/>
              <w:t>3) SMDC Councillor Teresa Riley raised a complaint from a resident (Mr Herbert Hall) that the SCC had incorrectly made a path and stone wall at Brook Roods, Honeysuckle Cottage. Councillor Charles Barker stated that he had already, some years ago, raised the matter with SCC, had received a response and had given a copy of the response to Mr Hall at the time. The Clerk is requested to search the minutes of meetings circa 2008 -2010 to identify the records of what happened at that time and make them available the next Parish Council meeting.</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20/03/17/10</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1) It was identified that two Parish Councillors should update their documents relating to Pecuniary Interests. Clerk to issue forms to Councillors.</w:t>
            </w:r>
          </w:p>
          <w:p>
            <w:pPr>
              <w:pStyle w:val="Normal"/>
              <w:spacing w:lineRule="auto" w:line="288" w:before="0" w:after="0"/>
              <w:rPr/>
            </w:pPr>
            <w:r>
              <w:rPr/>
              <w:t>2) It was resolved that Mr Adam Robotham be appointed as Internal Auditor of the Parish Council Records covering the period 1</w:t>
            </w:r>
            <w:r>
              <w:rPr>
                <w:vertAlign w:val="superscript"/>
              </w:rPr>
              <w:t>st</w:t>
            </w:r>
            <w:r>
              <w:rPr/>
              <w:t xml:space="preserve"> April 2016 to 31</w:t>
            </w:r>
            <w:r>
              <w:rPr>
                <w:vertAlign w:val="superscript"/>
              </w:rPr>
              <w:t>st</w:t>
            </w:r>
            <w:r>
              <w:rPr/>
              <w:t xml:space="preserve"> March 2017.</w:t>
            </w:r>
          </w:p>
        </w:tc>
      </w:tr>
      <w:tr>
        <w:trPr>
          <w:trHeight w:val="237"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20/03/17/11</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keepNext/>
              <w:widowControl/>
              <w:shd w:fill="FFFFFF" w:val="clear"/>
              <w:suppressAutoHyphens w:val="true"/>
              <w:overflowPunct w:val="true"/>
              <w:bidi w:val="0"/>
              <w:spacing w:lineRule="auto" w:line="288" w:before="0" w:after="0"/>
              <w:ind w:left="0" w:right="0" w:hanging="0"/>
              <w:jc w:val="left"/>
              <w:outlineLvl w:val="2"/>
              <w:rPr/>
            </w:pPr>
            <w:r>
              <w:rPr/>
              <w:t xml:space="preserve">1) There has still not been any decision made on the application for new houses to be built on the Old Industrial Estate. The Clerk was requested to make enquiries of the property company, John German as to how many of the previous build on that same site were now sold and/or occupied. </w:t>
            </w:r>
          </w:p>
        </w:tc>
      </w:tr>
      <w:tr>
        <w:trPr>
          <w:trHeight w:val="27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20/03/17/12</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true"/>
              <w:bidi w:val="0"/>
              <w:spacing w:lineRule="auto" w:line="288" w:before="0" w:after="0"/>
              <w:ind w:left="0" w:right="0" w:hanging="0"/>
              <w:jc w:val="left"/>
              <w:rPr>
                <w:rFonts w:ascii="Liberation Serif" w:hAnsi="Liberation Serif"/>
                <w:b w:val="false"/>
                <w:bCs w:val="false"/>
                <w:color w:val="000000"/>
                <w:sz w:val="24"/>
                <w:szCs w:val="24"/>
                <w:bdr w:val="single" w:sz="8" w:space="3" w:color="B5C4DF"/>
                <w:lang w:val="en-US"/>
              </w:rPr>
            </w:pPr>
            <w:r>
              <w:rPr>
                <w:rFonts w:ascii="Liberation Serif" w:hAnsi="Liberation Serif"/>
                <w:b w:val="false"/>
                <w:bCs w:val="false"/>
                <w:color w:val="000000"/>
                <w:sz w:val="24"/>
                <w:szCs w:val="24"/>
              </w:rPr>
              <w:t xml:space="preserve">The Chair informed the meeting that </w:t>
            </w:r>
            <w:bookmarkStart w:id="0" w:name="yui_3_16_0_ym19_1_1491124464956_3019"/>
            <w:bookmarkStart w:id="1" w:name="yui_3_16_0_ym19_1_1491124464956_3018"/>
            <w:bookmarkEnd w:id="0"/>
            <w:bookmarkEnd w:id="1"/>
            <w:r>
              <w:rPr>
                <w:rFonts w:ascii="Liberation Serif" w:hAnsi="Liberation Serif"/>
                <w:b w:val="false"/>
                <w:bCs w:val="false"/>
                <w:color w:val="000000"/>
                <w:sz w:val="24"/>
                <w:szCs w:val="24"/>
              </w:rPr>
              <w:t xml:space="preserve">Parish resident, </w:t>
            </w:r>
            <w:r>
              <w:rPr>
                <w:rFonts w:ascii="Liberation Serif" w:hAnsi="Liberation Serif"/>
                <w:b w:val="false"/>
                <w:bCs w:val="false"/>
                <w:color w:val="000000"/>
                <w:sz w:val="24"/>
                <w:szCs w:val="24"/>
                <w:bdr w:val="single" w:sz="8" w:space="3" w:color="B5C4DF"/>
                <w:lang w:val="en-US"/>
              </w:rPr>
              <w:t>Margaret Grant, had contacted SCC highways herself and requested that some better quality barriers be installed at Elkstones Lane End and had informed that Parish Council of her actions. The following response was received from SCC.</w:t>
            </w:r>
          </w:p>
          <w:p>
            <w:pPr>
              <w:pStyle w:val="TextBody"/>
              <w:spacing w:before="0" w:after="140"/>
              <w:outlineLvl w:val="2"/>
              <w:rPr>
                <w:rFonts w:ascii="Liberation Serif" w:hAnsi="Liberation Serif"/>
                <w:b w:val="false"/>
                <w:bCs w:val="false"/>
                <w:i/>
                <w:iCs/>
                <w:color w:val="000000"/>
                <w:sz w:val="24"/>
                <w:szCs w:val="24"/>
              </w:rPr>
            </w:pPr>
            <w:bookmarkStart w:id="2" w:name="yui_3_16_0_ym19_1_1491124464956_3154"/>
            <w:bookmarkStart w:id="3" w:name="yui_3_16_0_ym19_1_1491124464956_3153"/>
            <w:bookmarkEnd w:id="2"/>
            <w:bookmarkEnd w:id="3"/>
            <w:r>
              <w:rPr>
                <w:rFonts w:ascii="Liberation Serif" w:hAnsi="Liberation Serif"/>
                <w:b w:val="false"/>
                <w:bCs w:val="false"/>
                <w:color w:val="000000"/>
                <w:sz w:val="24"/>
                <w:szCs w:val="24"/>
              </w:rPr>
              <w:t>I</w:t>
            </w:r>
            <w:r>
              <w:rPr>
                <w:rFonts w:ascii="Liberation Serif" w:hAnsi="Liberation Serif"/>
                <w:b w:val="false"/>
                <w:bCs w:val="false"/>
                <w:i/>
                <w:iCs/>
                <w:color w:val="000000"/>
                <w:sz w:val="24"/>
                <w:szCs w:val="24"/>
              </w:rPr>
              <w:t xml:space="preserve"> have checked on report reference 4065211 and I can see that we have been advised we cannot install crash barriers at this location. It has been suggested that we should install a different type of bollard in this location to ensure longevity.</w:t>
            </w:r>
          </w:p>
        </w:tc>
      </w:tr>
      <w:tr>
        <w:trPr>
          <w:trHeight w:val="27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20/03/17/13</w:t>
            </w:r>
          </w:p>
        </w:tc>
        <w:tc>
          <w:tcPr>
            <w:tcW w:w="9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1)  The lengthsman scheme paperwork, invoicing and payments are currently up to date. However, as this is the last payment due from the SCC, it is important that the time-sheets are received from the lengthsmen as soon as possible. SMDC has confirmed that it will continue with the payments for the scheme for one more year but cannot give any assurances regarding subsequent years. Clerk to request time-sheets from lengthsmen immediately at the end of March 2017.</w:t>
            </w:r>
          </w:p>
          <w:p>
            <w:pPr>
              <w:pStyle w:val="TextBody"/>
              <w:spacing w:lineRule="auto" w:line="288" w:before="0" w:after="0"/>
              <w:rPr>
                <w:b w:val="false"/>
                <w:bCs w:val="false"/>
                <w:sz w:val="24"/>
                <w:szCs w:val="24"/>
              </w:rPr>
            </w:pPr>
            <w:r>
              <w:rPr>
                <w:b w:val="false"/>
                <w:bCs w:val="false"/>
                <w:sz w:val="24"/>
                <w:szCs w:val="24"/>
              </w:rPr>
              <w:t>2) Correspondence had been received from the Village hall Committee regarding the insurance premium for the Village Hall. After some discussion of the Parish Council's contribution to the insurance in previous years it was resolve to make a payment of £495 towards the insurance premium. Also a payment of £105 for use of the Village Hall for Parish Council meetings during the year 2016/17. It was pointed out that the budget and precept for the coming year had already been set and that there were limited funds available for unplanned expenditure. It is recommended that the Village Hall Committee give the Parish Council plenty of notice of next year's insurance costs so that advance budgeting can be made. The Clerk was instructed to provide Laura Gordon with a list of when the Parish Council meetings are due to be held.</w:t>
            </w:r>
          </w:p>
          <w:p>
            <w:pPr>
              <w:pStyle w:val="TextBody"/>
              <w:spacing w:lineRule="auto" w:line="288" w:before="0" w:after="0"/>
              <w:rPr>
                <w:b w:val="false"/>
                <w:bCs w:val="false"/>
                <w:sz w:val="24"/>
                <w:szCs w:val="24"/>
              </w:rPr>
            </w:pPr>
            <w:r>
              <w:rPr>
                <w:b w:val="false"/>
                <w:bCs w:val="false"/>
                <w:sz w:val="24"/>
                <w:szCs w:val="24"/>
              </w:rPr>
              <w:t>3) Defibrillator. Councillor Wilson is still waiting to hear about availability of  a defibrillator to be sited near the Village Hall.</w:t>
            </w:r>
          </w:p>
          <w:p>
            <w:pPr>
              <w:pStyle w:val="TextBody"/>
              <w:spacing w:lineRule="auto" w:line="288" w:before="0" w:after="0"/>
              <w:rPr>
                <w:b w:val="false"/>
                <w:bCs w:val="false"/>
                <w:sz w:val="24"/>
                <w:szCs w:val="24"/>
              </w:rPr>
            </w:pPr>
            <w:r>
              <w:rPr>
                <w:b w:val="false"/>
                <w:bCs w:val="false"/>
                <w:sz w:val="24"/>
                <w:szCs w:val="24"/>
              </w:rPr>
              <w:t>4) There are funds available from central government allocations for Parish Councils to obtain IT equipment. The Clerk was instructed to apply for this funding.</w:t>
            </w:r>
          </w:p>
          <w:p>
            <w:pPr>
              <w:pStyle w:val="TextBody"/>
              <w:spacing w:lineRule="auto" w:line="288" w:before="0" w:after="0"/>
              <w:rPr>
                <w:b w:val="false"/>
                <w:bCs w:val="false"/>
                <w:sz w:val="24"/>
                <w:szCs w:val="24"/>
              </w:rPr>
            </w:pPr>
            <w:r>
              <w:rPr>
                <w:b w:val="false"/>
                <w:bCs w:val="false"/>
                <w:sz w:val="24"/>
                <w:szCs w:val="24"/>
              </w:rPr>
              <w:t>5) The clerk made available to the meeting letters received regarding the proposed playground project. The meeting discussed these and the information that had been provided by the representatives from the Manifold Academy. It was unanimously resolved that the Clerk should send a letter of support to the project leaders and make it clear that any help that can be provided by the Parish Council will be available. SMDC Councillor Teresa Riley made clear her support for the playground project.</w:t>
            </w:r>
          </w:p>
          <w:p>
            <w:pPr>
              <w:pStyle w:val="TextBody"/>
              <w:spacing w:lineRule="auto" w:line="288" w:before="0" w:after="0"/>
              <w:rPr>
                <w:b w:val="false"/>
                <w:bCs w:val="false"/>
                <w:sz w:val="24"/>
                <w:szCs w:val="24"/>
              </w:rPr>
            </w:pPr>
            <w:r>
              <w:rPr>
                <w:b w:val="false"/>
                <w:bCs w:val="false"/>
                <w:sz w:val="24"/>
                <w:szCs w:val="24"/>
              </w:rPr>
              <w:t>6) There have been no applications for the vacant position of Parish Councillor. The Clerk is instructed to advertise the position more widely, including placing an advertisement in the Alstonfield Newsletter. It was also pointed out to the Clerk that the list of Parish Councillors names in that newsletter needed to be updated.</w:t>
            </w:r>
          </w:p>
          <w:p>
            <w:pPr>
              <w:pStyle w:val="TextBody"/>
              <w:spacing w:lineRule="auto" w:line="288" w:before="0" w:after="0"/>
              <w:rPr>
                <w:b w:val="false"/>
                <w:bCs w:val="false"/>
                <w:sz w:val="24"/>
                <w:szCs w:val="24"/>
              </w:rPr>
            </w:pPr>
            <w:r>
              <w:rPr>
                <w:b w:val="false"/>
                <w:bCs w:val="false"/>
                <w:sz w:val="24"/>
                <w:szCs w:val="24"/>
              </w:rPr>
              <w:t>7) The Clerk noted that it was necessary to perform some administrative actions for the Parish Council to be in compliance with the office of the Pensions Regulator. The Clerk was instructed to proceed with these actions.</w:t>
            </w:r>
          </w:p>
          <w:p>
            <w:pPr>
              <w:pStyle w:val="TextBody"/>
              <w:spacing w:lineRule="auto" w:line="288" w:before="0" w:after="0"/>
              <w:rPr>
                <w:b w:val="false"/>
                <w:bCs w:val="false"/>
                <w:sz w:val="24"/>
                <w:szCs w:val="24"/>
              </w:rPr>
            </w:pPr>
            <w:r>
              <w:rPr>
                <w:b w:val="false"/>
                <w:bCs w:val="false"/>
                <w:sz w:val="24"/>
                <w:szCs w:val="24"/>
              </w:rPr>
              <w:t>8) As Parish Council meeting seem to have more business to deal with recently, the Clerk was requested to arrange for some drinks and refreshments to be available for Councillors and visitors to the meetings.</w:t>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20/03/17/14</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firstLine="720"/>
              <w:jc w:val="both"/>
              <w:rPr/>
            </w:pPr>
            <w:r>
              <w:rPr/>
              <w:t>The Clerk reported that the bank balances stand at;</w:t>
            </w:r>
          </w:p>
          <w:p>
            <w:pPr>
              <w:pStyle w:val="Normal"/>
              <w:suppressAutoHyphens w:val="false"/>
              <w:ind w:left="0" w:right="0" w:firstLine="720"/>
              <w:jc w:val="both"/>
              <w:rPr/>
            </w:pPr>
            <w:r>
              <w:rPr/>
              <w:t>Business Reserve Account £5022.55 at 3rd March 2017</w:t>
            </w:r>
          </w:p>
          <w:p>
            <w:pPr>
              <w:pStyle w:val="Normal"/>
              <w:suppressAutoHyphens w:val="false"/>
              <w:ind w:left="0" w:right="0" w:firstLine="720"/>
              <w:jc w:val="both"/>
              <w:rPr/>
            </w:pPr>
            <w:r>
              <w:rPr/>
              <w:t>Current Account £0.00 at 5</w:t>
            </w:r>
            <w:r>
              <w:rPr>
                <w:vertAlign w:val="superscript"/>
              </w:rPr>
              <w:t>th</w:t>
            </w:r>
            <w:r>
              <w:rPr/>
              <w:t xml:space="preserve"> January 2017 (most recent statement date)</w:t>
            </w:r>
          </w:p>
          <w:p>
            <w:pPr>
              <w:pStyle w:val="Normal"/>
              <w:suppressAutoHyphens w:val="false"/>
              <w:ind w:left="0" w:right="0" w:firstLine="720"/>
              <w:jc w:val="both"/>
              <w:rPr/>
            </w:pPr>
            <w:r>
              <w:rPr/>
            </w:r>
          </w:p>
          <w:p>
            <w:pPr>
              <w:pStyle w:val="Normal"/>
              <w:suppressAutoHyphens w:val="false"/>
              <w:ind w:left="0" w:right="0" w:hanging="0"/>
              <w:jc w:val="both"/>
              <w:rPr>
                <w:b/>
                <w:bCs/>
              </w:rPr>
            </w:pPr>
            <w:r>
              <w:rPr>
                <w:b/>
                <w:bCs/>
              </w:rPr>
              <w:t>Monies received since last financial report.</w:t>
            </w:r>
          </w:p>
          <w:p>
            <w:pPr>
              <w:pStyle w:val="Normal"/>
              <w:suppressAutoHyphens w:val="false"/>
              <w:ind w:left="0" w:right="0" w:firstLine="720"/>
              <w:jc w:val="both"/>
              <w:rPr/>
            </w:pPr>
            <w:r>
              <w:rPr/>
            </w:r>
          </w:p>
          <w:tbl>
            <w:tblPr>
              <w:jc w:val="left"/>
              <w:tblInd w:w="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1584"/>
              <w:gridCol w:w="2611"/>
              <w:gridCol w:w="2496"/>
              <w:gridCol w:w="1360"/>
            </w:tblGrid>
            <w:tr>
              <w:trPr>
                <w:cantSplit w:val="false"/>
              </w:trPr>
              <w:tc>
                <w:tcPr>
                  <w:tcW w:w="15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DATE</w:t>
                  </w:r>
                </w:p>
              </w:tc>
              <w:tc>
                <w:tcPr>
                  <w:tcW w:w="26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 xml:space="preserve">Received from </w:t>
                  </w:r>
                </w:p>
              </w:tc>
              <w:tc>
                <w:tcPr>
                  <w:tcW w:w="249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Remittance Advice</w:t>
                  </w:r>
                </w:p>
              </w:tc>
              <w:tc>
                <w:tcPr>
                  <w:tcW w:w="136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pPr>
                  <w:r>
                    <w:rPr/>
                    <w:t>Amount</w:t>
                  </w:r>
                </w:p>
              </w:tc>
            </w:tr>
            <w:tr>
              <w:trPr>
                <w:cantSplit w:val="false"/>
              </w:trPr>
              <w:tc>
                <w:tcPr>
                  <w:tcW w:w="15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30/12/2016</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NatWest Bank</w:t>
                  </w:r>
                </w:p>
              </w:tc>
              <w:tc>
                <w:tcPr>
                  <w:tcW w:w="2496"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Interest</w:t>
                  </w:r>
                </w:p>
              </w:tc>
              <w:tc>
                <w:tcPr>
                  <w:tcW w:w="13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right"/>
                    <w:rPr/>
                  </w:pPr>
                  <w:r>
                    <w:rPr/>
                    <w:t>£0.04</w:t>
                  </w:r>
                </w:p>
              </w:tc>
            </w:tr>
            <w:tr>
              <w:trPr>
                <w:cantSplit w:val="false"/>
              </w:trPr>
              <w:tc>
                <w:tcPr>
                  <w:tcW w:w="15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09/02/2017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SCC</w:t>
                  </w:r>
                </w:p>
              </w:tc>
              <w:tc>
                <w:tcPr>
                  <w:tcW w:w="2496"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Lengthsman Scheme</w:t>
                  </w:r>
                </w:p>
              </w:tc>
              <w:tc>
                <w:tcPr>
                  <w:tcW w:w="13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right"/>
                    <w:rPr/>
                  </w:pPr>
                  <w:r>
                    <w:rPr/>
                    <w:t>£349.50</w:t>
                  </w:r>
                </w:p>
              </w:tc>
            </w:tr>
            <w:tr>
              <w:trPr>
                <w:cantSplit w:val="false"/>
              </w:trPr>
              <w:tc>
                <w:tcPr>
                  <w:tcW w:w="15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31/01/2017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NatWest Bank</w:t>
                  </w:r>
                </w:p>
              </w:tc>
              <w:tc>
                <w:tcPr>
                  <w:tcW w:w="2496"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Interest</w:t>
                  </w:r>
                </w:p>
              </w:tc>
              <w:tc>
                <w:tcPr>
                  <w:tcW w:w="13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right"/>
                    <w:rPr/>
                  </w:pPr>
                  <w:r>
                    <w:rPr/>
                    <w:t>£0.04</w:t>
                  </w:r>
                </w:p>
              </w:tc>
            </w:tr>
            <w:tr>
              <w:trPr>
                <w:cantSplit w:val="false"/>
              </w:trPr>
              <w:tc>
                <w:tcPr>
                  <w:tcW w:w="15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28/02/2017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NatWest Bank</w:t>
                  </w:r>
                </w:p>
              </w:tc>
              <w:tc>
                <w:tcPr>
                  <w:tcW w:w="2496"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Interest</w:t>
                  </w:r>
                </w:p>
              </w:tc>
              <w:tc>
                <w:tcPr>
                  <w:tcW w:w="13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right"/>
                    <w:rPr/>
                  </w:pPr>
                  <w:r>
                    <w:rPr/>
                    <w:t>£0.04</w:t>
                  </w:r>
                </w:p>
              </w:tc>
            </w:tr>
            <w:tr>
              <w:trPr>
                <w:cantSplit w:val="false"/>
              </w:trPr>
              <w:tc>
                <w:tcPr>
                  <w:tcW w:w="1584"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28/02/2017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SMDC</w:t>
                  </w:r>
                </w:p>
              </w:tc>
              <w:tc>
                <w:tcPr>
                  <w:tcW w:w="2496"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rPr/>
                  </w:pPr>
                  <w:r>
                    <w:rPr/>
                    <w:t>Lengthsman Scheme</w:t>
                  </w:r>
                </w:p>
              </w:tc>
              <w:tc>
                <w:tcPr>
                  <w:tcW w:w="136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right"/>
                    <w:rPr/>
                  </w:pPr>
                  <w:r>
                    <w:rPr/>
                    <w:t>£200.00</w:t>
                  </w:r>
                </w:p>
              </w:tc>
            </w:tr>
          </w:tbl>
          <w:p>
            <w:pPr>
              <w:pStyle w:val="Normal"/>
              <w:suppressAutoHyphens w:val="false"/>
              <w:ind w:left="0" w:right="0" w:firstLine="720"/>
              <w:jc w:val="both"/>
              <w:rPr/>
            </w:pPr>
            <w:r>
              <w:rPr/>
              <w:t xml:space="preserve">                                                                            </w:t>
            </w:r>
            <w:r>
              <w:rPr/>
              <w:t>Total Income £549.62</w:t>
            </w:r>
          </w:p>
          <w:p>
            <w:pPr>
              <w:pStyle w:val="Normal"/>
              <w:suppressAutoHyphens w:val="false"/>
              <w:ind w:left="0" w:right="0" w:hanging="0"/>
              <w:jc w:val="both"/>
              <w:rPr/>
            </w:pPr>
            <w:r>
              <w:rPr/>
            </w:r>
          </w:p>
          <w:p>
            <w:pPr>
              <w:pStyle w:val="Normal"/>
              <w:suppressAutoHyphens w:val="false"/>
              <w:ind w:left="0" w:right="0" w:firstLine="720"/>
              <w:jc w:val="both"/>
              <w:rPr>
                <w:rFonts w:ascii="Century Schoolbook L" w:hAnsi="Century Schoolbook L"/>
              </w:rPr>
            </w:pPr>
            <w:r>
              <w:rPr>
                <w:rFonts w:ascii="Century Schoolbook L" w:hAnsi="Century Schoolbook L"/>
              </w:rPr>
              <w:t>The Parish Councillors reviewed the liabilities. All the following payments were agreed and cheques issued.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108" w:type="dxa"/>
              </w:tblCellMar>
            </w:tblPr>
            <w:tblGrid>
              <w:gridCol w:w="1230"/>
              <w:gridCol w:w="2604"/>
              <w:gridCol w:w="3120"/>
              <w:gridCol w:w="1219"/>
            </w:tblGrid>
            <w:tr>
              <w:trPr>
                <w:trHeight w:val="283" w:hRule="atLeast"/>
                <w:cantSplit w:val="false"/>
              </w:trPr>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sz w:val="20"/>
                      <w:szCs w:val="20"/>
                    </w:rPr>
                  </w:pPr>
                  <w:r>
                    <w:rPr>
                      <w:rFonts w:ascii="Century Schoolbook L" w:hAnsi="Century Schoolbook L"/>
                      <w:sz w:val="20"/>
                      <w:szCs w:val="20"/>
                    </w:rPr>
                    <w:t>Cheque No</w:t>
                  </w:r>
                </w:p>
              </w:tc>
              <w:tc>
                <w:tcPr>
                  <w:tcW w:w="26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Payee</w:t>
                  </w:r>
                </w:p>
              </w:tc>
              <w:tc>
                <w:tcPr>
                  <w:tcW w:w="31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Item</w:t>
                  </w:r>
                </w:p>
              </w:tc>
              <w:tc>
                <w:tcPr>
                  <w:tcW w:w="1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000538</w:t>
                  </w:r>
                </w:p>
              </w:tc>
              <w:tc>
                <w:tcPr>
                  <w:tcW w:w="26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 Mansfield Clerk</w:t>
                  </w:r>
                </w:p>
              </w:tc>
              <w:tc>
                <w:tcPr>
                  <w:tcW w:w="31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Salary &amp; PAYE 2 months</w:t>
                  </w:r>
                </w:p>
                <w:p>
                  <w:pPr>
                    <w:pStyle w:val="Normal"/>
                    <w:rPr>
                      <w:rFonts w:ascii="Century Schoolbook L" w:hAnsi="Century Schoolbook L"/>
                    </w:rPr>
                  </w:pPr>
                  <w:r>
                    <w:rPr>
                      <w:rFonts w:ascii="Century Schoolbook L" w:hAnsi="Century Schoolbook L"/>
                    </w:rPr>
                    <w:t>Expenses 2 months</w:t>
                  </w:r>
                </w:p>
              </w:tc>
              <w:tc>
                <w:tcPr>
                  <w:tcW w:w="1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£315.20</w:t>
                  </w:r>
                </w:p>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£58.00</w:t>
                  </w:r>
                </w:p>
              </w:tc>
            </w:tr>
            <w:tr>
              <w:trPr>
                <w:trHeight w:val="283" w:hRule="atLeast"/>
                <w:cantSplit w:val="false"/>
              </w:trPr>
              <w:tc>
                <w:tcPr>
                  <w:tcW w:w="123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000539</w:t>
                  </w:r>
                </w:p>
              </w:tc>
              <w:tc>
                <w:tcPr>
                  <w:tcW w:w="26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Staffordshire Parish Councils Association</w:t>
                  </w:r>
                </w:p>
              </w:tc>
              <w:tc>
                <w:tcPr>
                  <w:tcW w:w="31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Annual Subscription</w:t>
                  </w:r>
                </w:p>
              </w:tc>
              <w:tc>
                <w:tcPr>
                  <w:tcW w:w="121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£126.00</w:t>
                  </w:r>
                </w:p>
              </w:tc>
            </w:tr>
            <w:tr>
              <w:trPr>
                <w:trHeight w:val="283" w:hRule="atLeast"/>
                <w:cantSplit w:val="false"/>
              </w:trPr>
              <w:tc>
                <w:tcPr>
                  <w:tcW w:w="123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000540</w:t>
                  </w:r>
                </w:p>
              </w:tc>
              <w:tc>
                <w:tcPr>
                  <w:tcW w:w="260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Warslow Village Hall</w:t>
                  </w:r>
                </w:p>
              </w:tc>
              <w:tc>
                <w:tcPr>
                  <w:tcW w:w="31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 xml:space="preserve">Contribution to Insurance </w:t>
                  </w:r>
                </w:p>
                <w:p>
                  <w:pPr>
                    <w:pStyle w:val="Normal"/>
                    <w:rPr/>
                  </w:pPr>
                  <w:r>
                    <w:rPr/>
                    <w:t>Meeting Room fees</w:t>
                  </w:r>
                </w:p>
              </w:tc>
              <w:tc>
                <w:tcPr>
                  <w:tcW w:w="121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 xml:space="preserve">   </w:t>
                  </w:r>
                  <w:r>
                    <w:rPr/>
                    <w:t>£495.00</w:t>
                  </w:r>
                </w:p>
                <w:p>
                  <w:pPr>
                    <w:pStyle w:val="Normal"/>
                    <w:rPr/>
                  </w:pPr>
                  <w:r>
                    <w:rPr/>
                    <w:t xml:space="preserve">   </w:t>
                  </w:r>
                  <w:r>
                    <w:rPr/>
                    <w:t>£105.00</w:t>
                  </w:r>
                </w:p>
              </w:tc>
            </w:tr>
          </w:tbl>
          <w:p>
            <w:pPr>
              <w:pStyle w:val="Normal"/>
              <w:spacing w:lineRule="auto" w:line="288" w:before="0" w:after="0"/>
              <w:jc w:val="both"/>
              <w:rPr>
                <w:rFonts w:ascii="Century Schoolbook L" w:hAnsi="Century Schoolbook L"/>
              </w:rPr>
            </w:pPr>
            <w:r>
              <w:rPr>
                <w:rFonts w:ascii="Century Schoolbook L" w:hAnsi="Century Schoolbook L"/>
              </w:rPr>
              <w:t xml:space="preserve">                                                                     </w:t>
            </w:r>
            <w:r>
              <w:rPr>
                <w:rFonts w:ascii="Century Schoolbook L" w:hAnsi="Century Schoolbook L"/>
              </w:rPr>
              <w:t>Total Expenditure                  £1099.20</w:t>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20/03/17/15</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Monday 15th May, 2017 at 7.30pm Warslow Village Hall.</w:t>
            </w:r>
          </w:p>
          <w:p>
            <w:pPr>
              <w:pStyle w:val="TextBody"/>
              <w:spacing w:lineRule="atLeast" w:line="100" w:before="0" w:after="140"/>
              <w:rPr>
                <w:b w:val="false"/>
                <w:bCs w:val="false"/>
                <w:sz w:val="20"/>
                <w:szCs w:val="20"/>
              </w:rPr>
            </w:pPr>
            <w:r>
              <w:rPr>
                <w:b w:val="false"/>
                <w:bCs w:val="false"/>
                <w:sz w:val="20"/>
                <w:szCs w:val="20"/>
              </w:rPr>
              <w:t>All meeting dates for 2017 are proposed as follows</w:t>
            </w:r>
          </w:p>
          <w:p>
            <w:pPr>
              <w:pStyle w:val="TextBody"/>
              <w:spacing w:lineRule="atLeast" w:line="100" w:before="0" w:after="140"/>
              <w:rPr>
                <w:b w:val="false"/>
                <w:bCs w:val="false"/>
                <w:position w:val="0"/>
                <w:sz w:val="20"/>
                <w:sz w:val="20"/>
                <w:szCs w:val="20"/>
                <w:vertAlign w:val="baseline"/>
              </w:rPr>
            </w:pPr>
            <w:r>
              <w:rPr>
                <w:b w:val="false"/>
                <w:bCs w:val="false"/>
                <w:sz w:val="20"/>
                <w:szCs w:val="20"/>
                <w:vertAlign w:val="superscript"/>
              </w:rPr>
              <w:t xml:space="preserve">     </w:t>
            </w:r>
            <w:r>
              <w:rPr>
                <w:b w:val="false"/>
                <w:bCs w:val="false"/>
                <w:position w:val="0"/>
                <w:sz w:val="20"/>
                <w:sz w:val="20"/>
                <w:szCs w:val="20"/>
                <w:vertAlign w:val="baseline"/>
              </w:rPr>
              <w:t>May 15</w:t>
            </w:r>
            <w:r>
              <w:rPr>
                <w:b w:val="false"/>
                <w:bCs w:val="false"/>
                <w:sz w:val="20"/>
                <w:szCs w:val="20"/>
                <w:vertAlign w:val="superscript"/>
              </w:rPr>
              <w:t xml:space="preserve">th   </w:t>
            </w:r>
            <w:r>
              <w:rPr>
                <w:b w:val="false"/>
                <w:bCs w:val="false"/>
                <w:position w:val="0"/>
                <w:sz w:val="20"/>
                <w:sz w:val="20"/>
                <w:szCs w:val="20"/>
                <w:vertAlign w:val="baseline"/>
              </w:rPr>
              <w:t>July 17</w:t>
            </w:r>
            <w:r>
              <w:rPr>
                <w:b w:val="false"/>
                <w:bCs w:val="false"/>
                <w:sz w:val="20"/>
                <w:szCs w:val="20"/>
                <w:vertAlign w:val="superscript"/>
              </w:rPr>
              <w:t xml:space="preserve">th   </w:t>
            </w:r>
            <w:r>
              <w:rPr>
                <w:b w:val="false"/>
                <w:bCs w:val="false"/>
                <w:position w:val="0"/>
                <w:sz w:val="20"/>
                <w:sz w:val="20"/>
                <w:szCs w:val="20"/>
                <w:vertAlign w:val="baseline"/>
              </w:rPr>
              <w:t>Sep 18</w:t>
            </w:r>
            <w:r>
              <w:rPr>
                <w:b w:val="false"/>
                <w:bCs w:val="false"/>
                <w:sz w:val="20"/>
                <w:szCs w:val="20"/>
                <w:vertAlign w:val="superscript"/>
              </w:rPr>
              <w:t xml:space="preserve">th </w:t>
            </w:r>
            <w:r>
              <w:rPr>
                <w:b w:val="false"/>
                <w:bCs w:val="false"/>
                <w:position w:val="0"/>
                <w:sz w:val="20"/>
                <w:sz w:val="20"/>
                <w:szCs w:val="20"/>
                <w:vertAlign w:val="baseline"/>
              </w:rPr>
              <w:t>Nov 20th</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22:20 hours.</w:t>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357"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20/03/17/16</w:t>
            </w:r>
          </w:p>
        </w:tc>
        <w:tc>
          <w:tcPr>
            <w:tcW w:w="96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4</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WARSLOW &amp; ELKSTONES Parish Council Meeting 20/03/17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kinsoku w:val="true"/>
      <w:overflowPunct w:val="true"/>
      <w:autoSpaceDE w:val="tru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2017-05-05T10:02:04Z</dcterms:modified>
  <cp:revision>17</cp:revision>
  <dc:title>HARTINGTON UPPER QUARTER PARISH COUNCIL</dc:title>
</cp:coreProperties>
</file>